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648BB" w14:textId="70B50559" w:rsidR="008F3AEF" w:rsidRDefault="008F3AEF" w:rsidP="008F3AEF">
      <w:pPr>
        <w:spacing w:after="0" w:line="240" w:lineRule="auto"/>
        <w:rPr>
          <w:b/>
          <w:bCs/>
        </w:rPr>
      </w:pPr>
      <w:r>
        <w:rPr>
          <w:b/>
          <w:bCs/>
        </w:rPr>
        <w:t>Lifetime Income Initiative</w:t>
      </w:r>
    </w:p>
    <w:p w14:paraId="2FE1909B" w14:textId="77777777" w:rsidR="008F3AEF" w:rsidRDefault="008F3AEF" w:rsidP="008F3AEF">
      <w:pPr>
        <w:spacing w:after="0" w:line="240" w:lineRule="auto"/>
        <w:rPr>
          <w:b/>
          <w:bCs/>
        </w:rPr>
      </w:pPr>
    </w:p>
    <w:p w14:paraId="52B5D3EE" w14:textId="7865D547" w:rsidR="008F3AEF" w:rsidRPr="0005221B" w:rsidRDefault="00B2179A" w:rsidP="0005221B">
      <w:pPr>
        <w:spacing w:after="0" w:line="240" w:lineRule="auto"/>
        <w:rPr>
          <w:i/>
          <w:iCs/>
          <w:color w:val="0070C0"/>
        </w:rPr>
      </w:pPr>
      <w:r w:rsidRPr="0005221B">
        <w:rPr>
          <w:b/>
          <w:bCs/>
          <w:color w:val="0070C0"/>
        </w:rPr>
        <w:t>Women &amp; Annuities</w:t>
      </w:r>
      <w:r w:rsidR="008F3AEF" w:rsidRPr="0005221B">
        <w:rPr>
          <w:b/>
          <w:bCs/>
          <w:color w:val="0070C0"/>
        </w:rPr>
        <w:t xml:space="preserve"> Internal Message</w:t>
      </w:r>
    </w:p>
    <w:p w14:paraId="4A521AA8" w14:textId="4A6CFDAF" w:rsidR="008F3AEF" w:rsidRPr="00AC2AAB" w:rsidRDefault="008F3AEF" w:rsidP="008F3AEF">
      <w:pPr>
        <w:pStyle w:val="ListParagraph"/>
        <w:spacing w:after="0" w:line="240" w:lineRule="auto"/>
        <w:ind w:left="0"/>
        <w:rPr>
          <w:i/>
          <w:iCs/>
        </w:rPr>
      </w:pPr>
      <w:r w:rsidRPr="00AC2AAB">
        <w:t>New research and marketing resources are available from LIMRA’s Lifetime Income Initiative, an industry effort to help more Americans convert retirement savings into dependable income and narrow the retirement income gap.</w:t>
      </w:r>
    </w:p>
    <w:p w14:paraId="4AD56F5B" w14:textId="77777777" w:rsidR="008F3AEF" w:rsidRPr="00AC2AAB" w:rsidRDefault="008F3AEF" w:rsidP="008F3AEF">
      <w:pPr>
        <w:spacing w:after="0" w:line="240" w:lineRule="auto"/>
      </w:pPr>
    </w:p>
    <w:p w14:paraId="03B8065C" w14:textId="02D0CC2D" w:rsidR="008F3AEF" w:rsidRDefault="008F3AEF" w:rsidP="008F3AEF">
      <w:pPr>
        <w:pStyle w:val="ListParagraph"/>
        <w:spacing w:after="0" w:line="240" w:lineRule="auto"/>
        <w:ind w:left="0"/>
      </w:pPr>
      <w:r w:rsidRPr="00AC2AAB">
        <w:t xml:space="preserve">This </w:t>
      </w:r>
      <w:r w:rsidR="00B2179A">
        <w:t xml:space="preserve">content </w:t>
      </w:r>
      <w:r w:rsidRPr="00AC2AAB">
        <w:t xml:space="preserve">package </w:t>
      </w:r>
      <w:r w:rsidR="00B2179A">
        <w:t xml:space="preserve">focuses on women and annuities, and </w:t>
      </w:r>
      <w:r w:rsidRPr="00AC2AAB">
        <w:t xml:space="preserve">includes new research from </w:t>
      </w:r>
      <w:r w:rsidR="00B2179A">
        <w:t xml:space="preserve">Suzanne Norman, </w:t>
      </w:r>
      <w:r w:rsidRPr="00AC2AAB">
        <w:t>Fellow at the LIMRA Retirement Income Institute</w:t>
      </w:r>
      <w:r w:rsidR="00B2179A">
        <w:t xml:space="preserve">. Norman’s new research </w:t>
      </w:r>
      <w:r w:rsidR="00B2179A" w:rsidRPr="00B2179A">
        <w:t xml:space="preserve">addresses the $54 trillion intergenerational wealth transfer, offering prescriptive and practical solutions to help widows engage and steward their wealth safely, </w:t>
      </w:r>
      <w:r w:rsidR="00B2179A">
        <w:t xml:space="preserve">while </w:t>
      </w:r>
      <w:r w:rsidR="00B2179A" w:rsidRPr="00B2179A">
        <w:t>gaining financial confidence along the way.</w:t>
      </w:r>
      <w:r w:rsidR="00B2179A">
        <w:t xml:space="preserve"> </w:t>
      </w:r>
      <w:r w:rsidRPr="00AC2AAB">
        <w:t>Your teams can use the materials in meetings and outreach.</w:t>
      </w:r>
    </w:p>
    <w:p w14:paraId="5AB94142" w14:textId="77777777" w:rsidR="0005221B" w:rsidRDefault="0005221B" w:rsidP="0005221B">
      <w:pPr>
        <w:spacing w:after="0" w:line="240" w:lineRule="auto"/>
        <w:rPr>
          <w:b/>
          <w:bCs/>
        </w:rPr>
      </w:pPr>
    </w:p>
    <w:p w14:paraId="55494EEE" w14:textId="77777777" w:rsidR="0005221B" w:rsidRDefault="0005221B" w:rsidP="0005221B">
      <w:pPr>
        <w:spacing w:after="0" w:line="240" w:lineRule="auto"/>
        <w:rPr>
          <w:b/>
          <w:bCs/>
        </w:rPr>
      </w:pPr>
    </w:p>
    <w:p w14:paraId="5F1D230C" w14:textId="75B3F64E" w:rsidR="0005221B" w:rsidRPr="0005221B" w:rsidRDefault="0005221B" w:rsidP="0005221B">
      <w:pPr>
        <w:spacing w:after="0" w:line="240" w:lineRule="auto"/>
        <w:rPr>
          <w:i/>
          <w:iCs/>
          <w:color w:val="0070C0"/>
        </w:rPr>
      </w:pPr>
      <w:r w:rsidRPr="0005221B">
        <w:rPr>
          <w:b/>
          <w:bCs/>
          <w:color w:val="0070C0"/>
        </w:rPr>
        <w:t>Women &amp; Annuities External Message</w:t>
      </w:r>
    </w:p>
    <w:p w14:paraId="7BD66969" w14:textId="77777777" w:rsidR="0005221B" w:rsidRPr="00E91B0F" w:rsidRDefault="0005221B" w:rsidP="0005221B">
      <w:pPr>
        <w:spacing w:after="0" w:line="240" w:lineRule="auto"/>
        <w:rPr>
          <w:i/>
          <w:iCs/>
        </w:rPr>
      </w:pPr>
      <w:r w:rsidRPr="00E91B0F">
        <w:t xml:space="preserve">Subject: New Resources to Support Conversations with Widows </w:t>
      </w:r>
    </w:p>
    <w:p w14:paraId="6B96CA1E" w14:textId="77777777" w:rsidR="0005221B" w:rsidRPr="00E91B0F" w:rsidRDefault="0005221B" w:rsidP="0005221B">
      <w:pPr>
        <w:spacing w:after="0" w:line="240" w:lineRule="auto"/>
        <w:rPr>
          <w:i/>
          <w:iCs/>
        </w:rPr>
      </w:pPr>
    </w:p>
    <w:p w14:paraId="12D4CD2C" w14:textId="77777777" w:rsidR="0005221B" w:rsidRPr="00E91B0F" w:rsidRDefault="0005221B" w:rsidP="0005221B">
      <w:pPr>
        <w:spacing w:after="0" w:line="240" w:lineRule="auto"/>
        <w:rPr>
          <w:i/>
          <w:iCs/>
        </w:rPr>
      </w:pPr>
      <w:r w:rsidRPr="00E91B0F">
        <w:t>Dear [Financial Professional Name/Team],</w:t>
      </w:r>
    </w:p>
    <w:p w14:paraId="08CFD699" w14:textId="77777777" w:rsidR="0005221B" w:rsidRPr="00E91B0F" w:rsidRDefault="0005221B" w:rsidP="0005221B">
      <w:pPr>
        <w:pStyle w:val="ListParagraph"/>
        <w:spacing w:after="0" w:line="240" w:lineRule="auto"/>
        <w:ind w:left="360"/>
      </w:pPr>
    </w:p>
    <w:p w14:paraId="2868553E" w14:textId="77777777" w:rsidR="0005221B" w:rsidRPr="00E91B0F" w:rsidRDefault="0005221B" w:rsidP="0005221B">
      <w:pPr>
        <w:pStyle w:val="ListParagraph"/>
        <w:spacing w:after="0" w:line="240" w:lineRule="auto"/>
        <w:ind w:left="0"/>
      </w:pPr>
      <w:r w:rsidRPr="00E91B0F">
        <w:t>I’m sharing new research and client-friendly resources from LIMRA’s Lifetime Income Initiative—an industry effort to strengthen understanding of protected lifetime income and support clearer retirement income conversations.</w:t>
      </w:r>
    </w:p>
    <w:p w14:paraId="459B0510" w14:textId="77777777" w:rsidR="0005221B" w:rsidRPr="00E91B0F" w:rsidRDefault="0005221B" w:rsidP="0005221B">
      <w:pPr>
        <w:pStyle w:val="ListParagraph"/>
        <w:spacing w:after="0" w:line="240" w:lineRule="auto"/>
        <w:ind w:left="0"/>
      </w:pPr>
    </w:p>
    <w:p w14:paraId="671E12F9" w14:textId="77777777" w:rsidR="0005221B" w:rsidRPr="00E91B0F" w:rsidRDefault="0005221B" w:rsidP="0005221B">
      <w:pPr>
        <w:pStyle w:val="ListParagraph"/>
        <w:spacing w:after="0" w:line="240" w:lineRule="auto"/>
        <w:ind w:left="0"/>
      </w:pPr>
      <w:r w:rsidRPr="00E91B0F">
        <w:t>This package focuses on women and annuities, with emphasis on widows and the $54 trillion intergenerational wealth transfer, offering practical solutions for financial professionals to engage with widows and help guide them to financial confidence.</w:t>
      </w:r>
    </w:p>
    <w:p w14:paraId="07CAC456" w14:textId="77777777" w:rsidR="0005221B" w:rsidRPr="00E91B0F" w:rsidRDefault="0005221B" w:rsidP="0005221B">
      <w:pPr>
        <w:pStyle w:val="ListParagraph"/>
        <w:spacing w:after="0" w:line="240" w:lineRule="auto"/>
        <w:ind w:left="0"/>
      </w:pPr>
    </w:p>
    <w:p w14:paraId="08DABD9C" w14:textId="77777777" w:rsidR="0005221B" w:rsidRPr="00E91B0F" w:rsidRDefault="0005221B" w:rsidP="0005221B">
      <w:pPr>
        <w:pStyle w:val="ListParagraph"/>
        <w:spacing w:after="0" w:line="240" w:lineRule="auto"/>
        <w:ind w:left="0"/>
      </w:pPr>
      <w:r w:rsidRPr="00E91B0F">
        <w:t>Attached are ready to use marketing and educational pieces for your team and client meetings. They help explain how protected income solutions, including annuities, can fit within holistic retirement planning.</w:t>
      </w:r>
    </w:p>
    <w:p w14:paraId="4AA8BD26" w14:textId="77777777" w:rsidR="0005221B" w:rsidRPr="00E91B0F" w:rsidRDefault="0005221B" w:rsidP="0005221B">
      <w:pPr>
        <w:pStyle w:val="ListParagraph"/>
        <w:spacing w:after="0" w:line="240" w:lineRule="auto"/>
        <w:ind w:left="0"/>
      </w:pPr>
    </w:p>
    <w:p w14:paraId="466D2C7A" w14:textId="77777777" w:rsidR="0005221B" w:rsidRPr="00E91B0F" w:rsidRDefault="0005221B" w:rsidP="0005221B">
      <w:pPr>
        <w:pStyle w:val="ListParagraph"/>
        <w:spacing w:after="0" w:line="240" w:lineRule="auto"/>
        <w:ind w:left="0"/>
      </w:pPr>
      <w:r w:rsidRPr="00E91B0F">
        <w:t>By pairing research with practical tools, the Lifetime Income Initiative helps firms engage consumers more effectively—so more people can turn savings into dependable income and narrow the retirement income gap.</w:t>
      </w:r>
    </w:p>
    <w:p w14:paraId="65501DB5" w14:textId="77777777" w:rsidR="0005221B" w:rsidRPr="00E91B0F" w:rsidRDefault="0005221B" w:rsidP="0005221B">
      <w:pPr>
        <w:pStyle w:val="ListParagraph"/>
        <w:spacing w:after="0" w:line="240" w:lineRule="auto"/>
        <w:ind w:left="0"/>
      </w:pPr>
    </w:p>
    <w:p w14:paraId="13DBDFEE" w14:textId="66E47A01" w:rsidR="008F3AEF" w:rsidRPr="0005221B" w:rsidRDefault="0005221B" w:rsidP="0005221B">
      <w:pPr>
        <w:pStyle w:val="ListParagraph"/>
        <w:spacing w:after="0" w:line="240" w:lineRule="auto"/>
        <w:ind w:left="0"/>
        <w:rPr>
          <w:i/>
          <w:iCs/>
        </w:rPr>
      </w:pPr>
      <w:r w:rsidRPr="00E91B0F">
        <w:t>Questions—or want help tailoring the materials for your practice? Please reach out.</w:t>
      </w:r>
    </w:p>
    <w:sectPr w:rsidR="008F3AEF" w:rsidRPr="0005221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252F7"/>
    <w:multiLevelType w:val="hybridMultilevel"/>
    <w:tmpl w:val="1EF4F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7673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AEF"/>
    <w:rsid w:val="0005221B"/>
    <w:rsid w:val="00166563"/>
    <w:rsid w:val="003A4334"/>
    <w:rsid w:val="008F3AEF"/>
    <w:rsid w:val="00B2179A"/>
    <w:rsid w:val="00EA5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7D219"/>
  <w15:chartTrackingRefBased/>
  <w15:docId w15:val="{380E41E8-46E7-41F4-AB69-7D5824822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AEF"/>
  </w:style>
  <w:style w:type="paragraph" w:styleId="Heading1">
    <w:name w:val="heading 1"/>
    <w:basedOn w:val="Normal"/>
    <w:next w:val="Normal"/>
    <w:link w:val="Heading1Char"/>
    <w:uiPriority w:val="9"/>
    <w:qFormat/>
    <w:rsid w:val="008F3A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3A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3A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3A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3A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3A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3A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3A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3A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3A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3A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3A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3A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3A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3A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3A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3A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3AEF"/>
    <w:rPr>
      <w:rFonts w:eastAsiaTheme="majorEastAsia" w:cstheme="majorBidi"/>
      <w:color w:val="272727" w:themeColor="text1" w:themeTint="D8"/>
    </w:rPr>
  </w:style>
  <w:style w:type="paragraph" w:styleId="Title">
    <w:name w:val="Title"/>
    <w:basedOn w:val="Normal"/>
    <w:next w:val="Normal"/>
    <w:link w:val="TitleChar"/>
    <w:uiPriority w:val="10"/>
    <w:qFormat/>
    <w:rsid w:val="008F3A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3A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3A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3A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3AEF"/>
    <w:pPr>
      <w:spacing w:before="160"/>
      <w:jc w:val="center"/>
    </w:pPr>
    <w:rPr>
      <w:i/>
      <w:iCs/>
      <w:color w:val="404040" w:themeColor="text1" w:themeTint="BF"/>
    </w:rPr>
  </w:style>
  <w:style w:type="character" w:customStyle="1" w:styleId="QuoteChar">
    <w:name w:val="Quote Char"/>
    <w:basedOn w:val="DefaultParagraphFont"/>
    <w:link w:val="Quote"/>
    <w:uiPriority w:val="29"/>
    <w:rsid w:val="008F3AEF"/>
    <w:rPr>
      <w:i/>
      <w:iCs/>
      <w:color w:val="404040" w:themeColor="text1" w:themeTint="BF"/>
    </w:rPr>
  </w:style>
  <w:style w:type="paragraph" w:styleId="ListParagraph">
    <w:name w:val="List Paragraph"/>
    <w:basedOn w:val="Normal"/>
    <w:uiPriority w:val="34"/>
    <w:qFormat/>
    <w:rsid w:val="008F3AEF"/>
    <w:pPr>
      <w:ind w:left="720"/>
      <w:contextualSpacing/>
    </w:pPr>
  </w:style>
  <w:style w:type="character" w:styleId="IntenseEmphasis">
    <w:name w:val="Intense Emphasis"/>
    <w:basedOn w:val="DefaultParagraphFont"/>
    <w:uiPriority w:val="21"/>
    <w:qFormat/>
    <w:rsid w:val="008F3AEF"/>
    <w:rPr>
      <w:i/>
      <w:iCs/>
      <w:color w:val="0F4761" w:themeColor="accent1" w:themeShade="BF"/>
    </w:rPr>
  </w:style>
  <w:style w:type="paragraph" w:styleId="IntenseQuote">
    <w:name w:val="Intense Quote"/>
    <w:basedOn w:val="Normal"/>
    <w:next w:val="Normal"/>
    <w:link w:val="IntenseQuoteChar"/>
    <w:uiPriority w:val="30"/>
    <w:qFormat/>
    <w:rsid w:val="008F3A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3AEF"/>
    <w:rPr>
      <w:i/>
      <w:iCs/>
      <w:color w:val="0F4761" w:themeColor="accent1" w:themeShade="BF"/>
    </w:rPr>
  </w:style>
  <w:style w:type="character" w:styleId="IntenseReference">
    <w:name w:val="Intense Reference"/>
    <w:basedOn w:val="DefaultParagraphFont"/>
    <w:uiPriority w:val="32"/>
    <w:qFormat/>
    <w:rsid w:val="008F3AE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205</Words>
  <Characters>1648</Characters>
  <Application>Microsoft Office Word</Application>
  <DocSecurity>0</DocSecurity>
  <Lines>68</Lines>
  <Paragraphs>74</Paragraphs>
  <ScaleCrop>false</ScaleCrop>
  <Company>LL Global, Inc.</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Schmidt</dc:creator>
  <cp:keywords/>
  <dc:description/>
  <cp:lastModifiedBy>Wendy Schmidt</cp:lastModifiedBy>
  <cp:revision>4</cp:revision>
  <dcterms:created xsi:type="dcterms:W3CDTF">2026-07-21T17:15:00Z</dcterms:created>
  <dcterms:modified xsi:type="dcterms:W3CDTF">2026-07-22T22:47:00Z</dcterms:modified>
</cp:coreProperties>
</file>